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D91" w:rsidRDefault="00F71D0C" w:rsidP="00026D51">
      <w:pPr>
        <w:spacing w:before="100" w:beforeAutospacing="1" w:after="100" w:afterAutospacing="1" w:line="480" w:lineRule="auto"/>
        <w:ind w:firstLine="720"/>
      </w:pPr>
      <w:r w:rsidRPr="00026D51">
        <w:t xml:space="preserve">Determinants of health are those factors that influence </w:t>
      </w:r>
      <w:r w:rsidR="008538DD">
        <w:t xml:space="preserve">the </w:t>
      </w:r>
      <w:r w:rsidRPr="00026D51">
        <w:t>health of individuals, families and communities.</w:t>
      </w:r>
      <w:r w:rsidR="00F664F1" w:rsidRPr="00026D51">
        <w:t xml:space="preserve"> </w:t>
      </w:r>
      <w:r w:rsidRPr="00026D51">
        <w:t>Health Canada defines determinants of health in the following groups:</w:t>
      </w:r>
      <w:r w:rsidR="00F664F1" w:rsidRPr="00026D51">
        <w:t xml:space="preserve"> </w:t>
      </w:r>
      <w:r w:rsidRPr="00026D51">
        <w:rPr>
          <w:sz w:val="14"/>
          <w:szCs w:val="14"/>
        </w:rPr>
        <w:t xml:space="preserve"> </w:t>
      </w:r>
      <w:r w:rsidR="005305E6" w:rsidRPr="00026D51">
        <w:t xml:space="preserve">social, </w:t>
      </w:r>
      <w:r w:rsidR="008F1D91" w:rsidRPr="00026D51">
        <w:t>economic</w:t>
      </w:r>
      <w:r w:rsidR="005305E6" w:rsidRPr="00026D51">
        <w:t xml:space="preserve"> and p</w:t>
      </w:r>
      <w:r w:rsidRPr="00026D51">
        <w:t>hysical environment</w:t>
      </w:r>
      <w:r w:rsidR="00F664F1" w:rsidRPr="00026D51">
        <w:t xml:space="preserve">. </w:t>
      </w:r>
      <w:r w:rsidRPr="00026D51">
        <w:t>Social determinants may be those factors such as</w:t>
      </w:r>
      <w:r w:rsidR="00F74E97">
        <w:t>,</w:t>
      </w:r>
      <w:r w:rsidRPr="00026D51">
        <w:t xml:space="preserve"> who</w:t>
      </w:r>
      <w:r w:rsidR="008F1D91">
        <w:t xml:space="preserve"> </w:t>
      </w:r>
      <w:r w:rsidR="00F74E97">
        <w:t xml:space="preserve">we </w:t>
      </w:r>
      <w:r w:rsidR="008F1D91">
        <w:t xml:space="preserve">value and </w:t>
      </w:r>
      <w:r w:rsidRPr="00026D51">
        <w:t xml:space="preserve">emulate in our family or community. </w:t>
      </w:r>
      <w:r w:rsidR="008F1D91">
        <w:t xml:space="preserve">Social determinants include </w:t>
      </w:r>
      <w:r w:rsidR="005305E6" w:rsidRPr="00026D51">
        <w:t>o</w:t>
      </w:r>
      <w:r w:rsidRPr="00026D51">
        <w:t>ur culture, coping skills, and child</w:t>
      </w:r>
      <w:r w:rsidR="005305E6" w:rsidRPr="00026D51">
        <w:t>hood experiences</w:t>
      </w:r>
      <w:r w:rsidR="00F74E97">
        <w:t>. Economic</w:t>
      </w:r>
      <w:r w:rsidRPr="00026D51">
        <w:t xml:space="preserve"> determinants</w:t>
      </w:r>
      <w:r w:rsidR="00F74E97">
        <w:t xml:space="preserve"> are things such as income,</w:t>
      </w:r>
      <w:r w:rsidRPr="00026D51">
        <w:t xml:space="preserve"> social status, access to health care, quality of health care, healthy behaviors and education level achieved.</w:t>
      </w:r>
      <w:r w:rsidR="00F664F1" w:rsidRPr="00026D51">
        <w:t xml:space="preserve"> </w:t>
      </w:r>
      <w:r w:rsidRPr="00026D51">
        <w:t>Physical environment determinants are biology</w:t>
      </w:r>
      <w:r w:rsidR="005305E6" w:rsidRPr="00026D51">
        <w:t>, sexuality, sexual orientation</w:t>
      </w:r>
      <w:r w:rsidRPr="00026D51">
        <w:t xml:space="preserve"> and genetics, including where we live, and where we are employed.</w:t>
      </w:r>
      <w:r w:rsidR="00F664F1" w:rsidRPr="00026D51">
        <w:t xml:space="preserve"> </w:t>
      </w:r>
      <w:r w:rsidRPr="00026D51">
        <w:t xml:space="preserve">These determinants </w:t>
      </w:r>
      <w:r w:rsidR="00F74E97">
        <w:t xml:space="preserve">of individuals </w:t>
      </w:r>
      <w:r w:rsidRPr="00026D51">
        <w:t xml:space="preserve">may lead to health inequities. </w:t>
      </w:r>
      <w:r w:rsidR="008F1D91">
        <w:t xml:space="preserve"> </w:t>
      </w:r>
    </w:p>
    <w:p w:rsidR="00BD45CF" w:rsidRDefault="00F71D0C" w:rsidP="00BD45CF">
      <w:pPr>
        <w:spacing w:before="100" w:beforeAutospacing="1" w:after="100" w:afterAutospacing="1" w:line="480" w:lineRule="auto"/>
        <w:ind w:firstLine="720"/>
      </w:pPr>
      <w:r w:rsidRPr="00026D51">
        <w:t>An example is cigarette smoking. We are aware that cigarette smoking is linked to cardiovascular, respiratory and oncological disease</w:t>
      </w:r>
      <w:r w:rsidR="00F74E97">
        <w:t xml:space="preserve">. </w:t>
      </w:r>
      <w:r w:rsidRPr="00026D51">
        <w:t xml:space="preserve">Populations </w:t>
      </w:r>
      <w:r w:rsidR="00F74E97">
        <w:t>with low socioeconomic status are</w:t>
      </w:r>
      <w:r w:rsidRPr="00026D51">
        <w:t xml:space="preserve"> linked to smoking prevalence in a number of countries. Even though smoking rates have declined over time, those </w:t>
      </w:r>
      <w:r w:rsidR="00F74E97">
        <w:t xml:space="preserve">individuals </w:t>
      </w:r>
      <w:r w:rsidRPr="00026D51">
        <w:t xml:space="preserve">with a higher socioeconomic status smoke less. Interestingly, all </w:t>
      </w:r>
      <w:r w:rsidR="008F1D91" w:rsidRPr="00026D51">
        <w:t>smokers’</w:t>
      </w:r>
      <w:r w:rsidR="00F74E97">
        <w:t xml:space="preserve"> attempts to quit are </w:t>
      </w:r>
      <w:r w:rsidRPr="00026D51">
        <w:t>similar in both socioeconomic groups, those that have a low socioeconomic status are less likely to</w:t>
      </w:r>
      <w:r w:rsidR="008F1D91">
        <w:t xml:space="preserve"> qu</w:t>
      </w:r>
      <w:r w:rsidRPr="00026D51">
        <w:t>it successfully. Other factors influencing the ability to quit smoking for the lower socioeconomic status are higher rates of nicotine dependence, and using the coping mechanism that is offered by smoking to reduce daily stressors. </w:t>
      </w:r>
      <w:r w:rsidR="00BD45CF">
        <w:t xml:space="preserve">(Paul, 2010). Cancer Care Ontario sites higher smoking rates amongst First Nation aboriginal groups. Sixty-seven percent of young adults living on-reserve reported currently smoking. Forty-eight percent of First Nation off reserve report smoking compared to twenty-two percent. Society conformity and common places of family and cultural exposure has smoking for First Nation children ages, twelve to seventeen at thirty percent on-reserve, and fourteen percent off reserve. Non-aboriginal youths </w:t>
      </w:r>
      <w:r w:rsidR="008538DD">
        <w:t xml:space="preserve">smoking from ages </w:t>
      </w:r>
      <w:r w:rsidR="00BD45CF">
        <w:t>twelve to seventeen is at four percent in Ontario. (CCO, 2016)</w:t>
      </w:r>
    </w:p>
    <w:p w:rsidR="00BD45CF" w:rsidRDefault="008538DD" w:rsidP="00BD45CF">
      <w:pPr>
        <w:spacing w:before="100" w:beforeAutospacing="1" w:after="100" w:afterAutospacing="1" w:line="480" w:lineRule="auto"/>
        <w:ind w:firstLine="720"/>
      </w:pPr>
      <w:r>
        <w:t>Other examples of s</w:t>
      </w:r>
      <w:r w:rsidR="00BD45CF">
        <w:t>ocial, economic and ph</w:t>
      </w:r>
      <w:r w:rsidR="00F74E97">
        <w:t>ysical environment determinants of health are</w:t>
      </w:r>
      <w:r w:rsidR="00BD45CF">
        <w:t xml:space="preserve"> furthere</w:t>
      </w:r>
      <w:r w:rsidR="000D507C">
        <w:t>d in our</w:t>
      </w:r>
      <w:r w:rsidR="00F74E97">
        <w:t xml:space="preserve"> Canadian</w:t>
      </w:r>
      <w:r w:rsidR="000D507C">
        <w:t xml:space="preserve"> Aboriginal population where a lack of trust for institutional medicine drives health disparities. Abuse, forced separation of aboriginal families are a Canadian history that has had impactful determination on the health care of the lives of indigenous peoples. </w:t>
      </w:r>
      <w:r>
        <w:t>First Nations Communities, according to</w:t>
      </w:r>
      <w:r w:rsidR="006A09A9">
        <w:t xml:space="preserve"> Justice Murray</w:t>
      </w:r>
      <w:r>
        <w:t xml:space="preserve"> Sinclair, </w:t>
      </w:r>
      <w:r w:rsidR="006A09A9">
        <w:t>feel like they have been burned by mainstream medicine. (Vogel, 2015)</w:t>
      </w:r>
    </w:p>
    <w:p w:rsidR="00F74E97" w:rsidRPr="00026D51" w:rsidRDefault="00F74E97" w:rsidP="00BD45CF">
      <w:pPr>
        <w:spacing w:before="100" w:beforeAutospacing="1" w:after="100" w:afterAutospacing="1" w:line="480" w:lineRule="auto"/>
        <w:ind w:firstLine="720"/>
      </w:pPr>
      <w:r>
        <w:t>In summary, a more holistic approach to health care is to view the individual</w:t>
      </w:r>
      <w:r w:rsidR="006A09A9">
        <w:t xml:space="preserve"> seeking care with empathy and</w:t>
      </w:r>
      <w:r>
        <w:t xml:space="preserve"> understand the factors at play in their view of their wellness or </w:t>
      </w:r>
      <w:r w:rsidR="006A09A9">
        <w:t xml:space="preserve">adherence to treatment for their </w:t>
      </w:r>
      <w:r>
        <w:t xml:space="preserve">disease state. Determinants of health </w:t>
      </w:r>
      <w:r w:rsidR="00375794">
        <w:t>are import</w:t>
      </w:r>
      <w:r w:rsidR="006A09A9">
        <w:t>ant to study, review and incorporate to guide and meet our patient</w:t>
      </w:r>
      <w:r w:rsidR="00375794">
        <w:t xml:space="preserve"> care</w:t>
      </w:r>
      <w:r w:rsidR="006A09A9">
        <w:t xml:space="preserve"> needs</w:t>
      </w:r>
      <w:r w:rsidR="00375794">
        <w:t xml:space="preserve">. </w:t>
      </w:r>
    </w:p>
    <w:p w:rsidR="00F71D0C" w:rsidRPr="00026D51" w:rsidRDefault="00F71D0C" w:rsidP="00F32026"/>
    <w:p w:rsidR="00F71D0C" w:rsidRPr="00026D51" w:rsidRDefault="00F71D0C" w:rsidP="00F32026">
      <w:pPr>
        <w:spacing w:before="100" w:beforeAutospacing="1" w:after="100" w:afterAutospacing="1" w:line="480" w:lineRule="atLeast"/>
        <w:ind w:left="720"/>
        <w:jc w:val="center"/>
      </w:pPr>
      <w:r w:rsidRPr="00026D51">
        <w:rPr>
          <w:sz w:val="27"/>
          <w:szCs w:val="27"/>
        </w:rPr>
        <w:t>References</w:t>
      </w:r>
    </w:p>
    <w:p w:rsidR="00F71D0C" w:rsidRPr="00026D51" w:rsidRDefault="00F71D0C" w:rsidP="00F71D0C">
      <w:pPr>
        <w:spacing w:before="100" w:beforeAutospacing="1" w:after="100" w:afterAutospacing="1" w:line="480" w:lineRule="atLeast"/>
        <w:ind w:left="720"/>
      </w:pPr>
      <w:r w:rsidRPr="00026D51">
        <w:rPr>
          <w:sz w:val="27"/>
          <w:szCs w:val="27"/>
        </w:rPr>
        <w:t>Canada, H. (2018). </w:t>
      </w:r>
      <w:r w:rsidRPr="00026D51">
        <w:rPr>
          <w:i/>
          <w:iCs/>
          <w:sz w:val="27"/>
          <w:szCs w:val="27"/>
        </w:rPr>
        <w:t>Determinants of health - Canada.ca</w:t>
      </w:r>
      <w:r w:rsidRPr="00026D51">
        <w:rPr>
          <w:sz w:val="27"/>
          <w:szCs w:val="27"/>
        </w:rPr>
        <w:t xml:space="preserve">. </w:t>
      </w:r>
    </w:p>
    <w:p w:rsidR="00F71D0C" w:rsidRPr="00026D51" w:rsidRDefault="00F71D0C" w:rsidP="00F71D0C">
      <w:pPr>
        <w:spacing w:before="100" w:beforeAutospacing="1" w:after="100" w:afterAutospacing="1" w:line="480" w:lineRule="atLeast"/>
        <w:ind w:left="720"/>
      </w:pPr>
      <w:r w:rsidRPr="00026D51">
        <w:rPr>
          <w:sz w:val="27"/>
          <w:szCs w:val="27"/>
        </w:rPr>
        <w:t xml:space="preserve">           Canada.ca. </w:t>
      </w:r>
      <w:hyperlink r:id="rId6" w:tgtFrame="_blank" w:history="1">
        <w:r w:rsidRPr="00026D51">
          <w:rPr>
            <w:rStyle w:val="Hyperlink"/>
            <w:color w:val="auto"/>
            <w:sz w:val="27"/>
            <w:szCs w:val="27"/>
          </w:rPr>
          <w:t>https://www.canada.ca/en/services/health/determinants-</w:t>
        </w:r>
      </w:hyperlink>
    </w:p>
    <w:p w:rsidR="00F71D0C" w:rsidRPr="00026D51" w:rsidRDefault="00F71D0C" w:rsidP="00F32026">
      <w:pPr>
        <w:spacing w:before="100" w:beforeAutospacing="1" w:after="100" w:afterAutospacing="1" w:line="480" w:lineRule="atLeast"/>
        <w:ind w:left="720"/>
      </w:pPr>
      <w:r w:rsidRPr="00026D51">
        <w:rPr>
          <w:sz w:val="27"/>
          <w:szCs w:val="27"/>
        </w:rPr>
        <w:t>           health.html </w:t>
      </w:r>
    </w:p>
    <w:p w:rsidR="00F71D0C" w:rsidRPr="00026D51" w:rsidRDefault="00F71D0C" w:rsidP="00F71D0C">
      <w:pPr>
        <w:pStyle w:val="NormalWeb"/>
        <w:spacing w:beforeAutospacing="0" w:after="0" w:afterAutospacing="0" w:line="480" w:lineRule="atLeast"/>
        <w:ind w:left="720"/>
      </w:pPr>
      <w:r w:rsidRPr="00026D51">
        <w:rPr>
          <w:sz w:val="27"/>
          <w:szCs w:val="27"/>
        </w:rPr>
        <w:t xml:space="preserve">‌ </w:t>
      </w:r>
      <w:r w:rsidRPr="00026D51">
        <w:rPr>
          <w:rFonts w:ascii="Calibri" w:hAnsi="Calibri" w:cs="Calibri"/>
          <w:sz w:val="27"/>
          <w:szCs w:val="27"/>
        </w:rPr>
        <w:t xml:space="preserve">Paul, C. L., Ross, S., Bryant, J., Hill, W., </w:t>
      </w:r>
      <w:proofErr w:type="spellStart"/>
      <w:r w:rsidRPr="00026D51">
        <w:rPr>
          <w:rFonts w:ascii="Calibri" w:hAnsi="Calibri" w:cs="Calibri"/>
          <w:sz w:val="27"/>
          <w:szCs w:val="27"/>
        </w:rPr>
        <w:t>Bonevski</w:t>
      </w:r>
      <w:proofErr w:type="spellEnd"/>
      <w:r w:rsidRPr="00026D51">
        <w:rPr>
          <w:rFonts w:ascii="Calibri" w:hAnsi="Calibri" w:cs="Calibri"/>
          <w:sz w:val="27"/>
          <w:szCs w:val="27"/>
        </w:rPr>
        <w:t xml:space="preserve">, B., &amp; </w:t>
      </w:r>
      <w:proofErr w:type="spellStart"/>
      <w:r w:rsidRPr="00026D51">
        <w:rPr>
          <w:rFonts w:ascii="Calibri" w:hAnsi="Calibri" w:cs="Calibri"/>
          <w:sz w:val="27"/>
          <w:szCs w:val="27"/>
        </w:rPr>
        <w:t>Keevy</w:t>
      </w:r>
      <w:proofErr w:type="spellEnd"/>
      <w:r w:rsidRPr="00026D51">
        <w:rPr>
          <w:rFonts w:ascii="Calibri" w:hAnsi="Calibri" w:cs="Calibri"/>
          <w:sz w:val="27"/>
          <w:szCs w:val="27"/>
        </w:rPr>
        <w:t xml:space="preserve">, N. (2010). </w:t>
      </w:r>
    </w:p>
    <w:p w:rsidR="00F71D0C" w:rsidRPr="00026D51" w:rsidRDefault="00F71D0C" w:rsidP="00F71D0C">
      <w:pPr>
        <w:pStyle w:val="NormalWeb"/>
        <w:spacing w:beforeAutospacing="0" w:after="0" w:afterAutospacing="0" w:line="480" w:lineRule="atLeast"/>
        <w:ind w:left="720"/>
      </w:pPr>
      <w:r w:rsidRPr="00026D51">
        <w:rPr>
          <w:rFonts w:ascii="Calibri" w:hAnsi="Calibri" w:cs="Calibri"/>
          <w:sz w:val="27"/>
          <w:szCs w:val="27"/>
        </w:rPr>
        <w:t xml:space="preserve">           The social context of smoking: A qualitative study comparing </w:t>
      </w:r>
    </w:p>
    <w:p w:rsidR="00F71D0C" w:rsidRPr="00026D51" w:rsidRDefault="00F71D0C" w:rsidP="00F71D0C">
      <w:pPr>
        <w:pStyle w:val="NormalWeb"/>
        <w:spacing w:beforeAutospacing="0" w:after="0" w:afterAutospacing="0" w:line="480" w:lineRule="atLeast"/>
        <w:ind w:left="720"/>
      </w:pPr>
      <w:r w:rsidRPr="00026D51">
        <w:rPr>
          <w:rFonts w:ascii="Calibri" w:hAnsi="Calibri" w:cs="Calibri"/>
          <w:sz w:val="27"/>
          <w:szCs w:val="27"/>
        </w:rPr>
        <w:t>           smokers of high versus low socioeconomic position. </w:t>
      </w:r>
      <w:r w:rsidRPr="00026D51">
        <w:rPr>
          <w:rFonts w:ascii="Calibri" w:hAnsi="Calibri" w:cs="Calibri"/>
          <w:i/>
          <w:iCs/>
          <w:sz w:val="27"/>
          <w:szCs w:val="27"/>
        </w:rPr>
        <w:t xml:space="preserve">BMC Public </w:t>
      </w:r>
    </w:p>
    <w:p w:rsidR="00F71D0C" w:rsidRDefault="00F71D0C" w:rsidP="00026D51">
      <w:pPr>
        <w:pStyle w:val="NormalWeb"/>
        <w:spacing w:beforeAutospacing="0" w:after="0" w:afterAutospacing="0" w:line="480" w:lineRule="atLeast"/>
        <w:ind w:left="720"/>
      </w:pPr>
      <w:r w:rsidRPr="00026D51">
        <w:rPr>
          <w:rFonts w:ascii="Calibri" w:hAnsi="Calibri" w:cs="Calibri"/>
          <w:i/>
          <w:iCs/>
          <w:sz w:val="27"/>
          <w:szCs w:val="27"/>
        </w:rPr>
        <w:t>           Health</w:t>
      </w:r>
      <w:r w:rsidRPr="00026D51">
        <w:rPr>
          <w:rFonts w:ascii="Calibri" w:hAnsi="Calibri" w:cs="Calibri"/>
          <w:sz w:val="27"/>
          <w:szCs w:val="27"/>
        </w:rPr>
        <w:t>, </w:t>
      </w:r>
      <w:r w:rsidRPr="00026D51">
        <w:rPr>
          <w:rFonts w:ascii="Calibri" w:hAnsi="Calibri" w:cs="Calibri"/>
          <w:i/>
          <w:iCs/>
          <w:sz w:val="27"/>
          <w:szCs w:val="27"/>
        </w:rPr>
        <w:t>10</w:t>
      </w:r>
      <w:r w:rsidRPr="00026D51">
        <w:rPr>
          <w:rFonts w:ascii="Calibri" w:hAnsi="Calibri" w:cs="Calibri"/>
          <w:sz w:val="27"/>
          <w:szCs w:val="27"/>
        </w:rPr>
        <w:t>(1). https://doi.org/10.1186/1471-2458-10-211</w:t>
      </w:r>
    </w:p>
    <w:p w:rsidR="00026D51" w:rsidRPr="00026D51" w:rsidRDefault="00026D51" w:rsidP="00026D51">
      <w:pPr>
        <w:pStyle w:val="NormalWeb"/>
        <w:spacing w:beforeAutospacing="0" w:after="0" w:afterAutospacing="0" w:line="480" w:lineRule="atLeast"/>
        <w:ind w:left="720"/>
      </w:pPr>
    </w:p>
    <w:p w:rsidR="005305E6" w:rsidRPr="00026D51" w:rsidRDefault="00F664F1" w:rsidP="005305E6">
      <w:pPr>
        <w:pStyle w:val="NormalWeb"/>
        <w:spacing w:after="0" w:afterAutospacing="0" w:line="480" w:lineRule="auto"/>
        <w:ind w:left="720" w:hanging="720"/>
        <w:rPr>
          <w:rFonts w:ascii="Georgia" w:eastAsia="Times New Roman" w:hAnsi="Georgia"/>
        </w:rPr>
      </w:pPr>
      <w:r w:rsidRPr="00026D51">
        <w:rPr>
          <w:sz w:val="27"/>
          <w:szCs w:val="27"/>
        </w:rPr>
        <w:t> </w:t>
      </w:r>
      <w:r w:rsidR="005305E6" w:rsidRPr="00026D51">
        <w:rPr>
          <w:rFonts w:ascii="Georgia" w:eastAsia="Times New Roman" w:hAnsi="Georgia"/>
          <w:i/>
          <w:iCs/>
        </w:rPr>
        <w:t>High prevalence of smoking in first nations in Ontario</w:t>
      </w:r>
      <w:r w:rsidR="005305E6" w:rsidRPr="00026D51">
        <w:rPr>
          <w:rFonts w:ascii="Georgia" w:eastAsia="Times New Roman" w:hAnsi="Georgia"/>
        </w:rPr>
        <w:t>. (</w:t>
      </w:r>
      <w:proofErr w:type="spellStart"/>
      <w:r w:rsidR="005305E6" w:rsidRPr="00026D51">
        <w:rPr>
          <w:rFonts w:ascii="Georgia" w:eastAsia="Times New Roman" w:hAnsi="Georgia"/>
        </w:rPr>
        <w:t>n.d.</w:t>
      </w:r>
      <w:proofErr w:type="spellEnd"/>
      <w:r w:rsidR="005305E6" w:rsidRPr="00026D51">
        <w:rPr>
          <w:rFonts w:ascii="Georgia" w:eastAsia="Times New Roman" w:hAnsi="Georgia"/>
        </w:rPr>
        <w:t>). Cancercareontario.Ca. Retrieved October 14, 2024, from https://www.cancercareontario.ca/en/cancer-facts/high-prevalence-smoking</w:t>
      </w:r>
    </w:p>
    <w:p w:rsidR="005305E6" w:rsidRPr="005305E6" w:rsidRDefault="005305E6" w:rsidP="005305E6">
      <w:pPr>
        <w:spacing w:before="100" w:beforeAutospacing="1" w:line="480" w:lineRule="auto"/>
        <w:ind w:left="720" w:hanging="720"/>
        <w:rPr>
          <w:rFonts w:ascii="Georgia" w:eastAsia="Times New Roman" w:hAnsi="Georgia"/>
        </w:rPr>
      </w:pPr>
      <w:r w:rsidRPr="005305E6">
        <w:rPr>
          <w:rFonts w:ascii="Georgia" w:eastAsia="Times New Roman" w:hAnsi="Georgia"/>
        </w:rPr>
        <w:t>Vogel, L. (2014). Broken trust drives native health disparities. </w:t>
      </w:r>
      <w:r w:rsidRPr="005305E6">
        <w:rPr>
          <w:rFonts w:ascii="Georgia" w:eastAsia="Times New Roman" w:hAnsi="Georgia"/>
          <w:i/>
          <w:iCs/>
        </w:rPr>
        <w:t xml:space="preserve">Journal de </w:t>
      </w:r>
      <w:proofErr w:type="spellStart"/>
      <w:r w:rsidRPr="005305E6">
        <w:rPr>
          <w:rFonts w:ascii="Georgia" w:eastAsia="Times New Roman" w:hAnsi="Georgia"/>
          <w:i/>
          <w:iCs/>
        </w:rPr>
        <w:t>l’Association</w:t>
      </w:r>
      <w:proofErr w:type="spellEnd"/>
      <w:r w:rsidRPr="005305E6">
        <w:rPr>
          <w:rFonts w:ascii="Georgia" w:eastAsia="Times New Roman" w:hAnsi="Georgia"/>
          <w:i/>
          <w:iCs/>
        </w:rPr>
        <w:t xml:space="preserve"> </w:t>
      </w:r>
      <w:proofErr w:type="spellStart"/>
      <w:r w:rsidRPr="005305E6">
        <w:rPr>
          <w:rFonts w:ascii="Georgia" w:eastAsia="Times New Roman" w:hAnsi="Georgia"/>
          <w:i/>
          <w:iCs/>
        </w:rPr>
        <w:t>Medicale</w:t>
      </w:r>
      <w:proofErr w:type="spellEnd"/>
      <w:r w:rsidRPr="005305E6">
        <w:rPr>
          <w:rFonts w:ascii="Georgia" w:eastAsia="Times New Roman" w:hAnsi="Georgia"/>
          <w:i/>
          <w:iCs/>
        </w:rPr>
        <w:t xml:space="preserve"> </w:t>
      </w:r>
      <w:proofErr w:type="spellStart"/>
      <w:r w:rsidRPr="005305E6">
        <w:rPr>
          <w:rFonts w:ascii="Georgia" w:eastAsia="Times New Roman" w:hAnsi="Georgia"/>
          <w:i/>
          <w:iCs/>
        </w:rPr>
        <w:t>Canadienne</w:t>
      </w:r>
      <w:proofErr w:type="spellEnd"/>
      <w:r w:rsidRPr="005305E6">
        <w:rPr>
          <w:rFonts w:ascii="Georgia" w:eastAsia="Times New Roman" w:hAnsi="Georgia"/>
          <w:i/>
          <w:iCs/>
        </w:rPr>
        <w:t xml:space="preserve"> [Canadian Medical Association Journal]</w:t>
      </w:r>
      <w:r w:rsidRPr="005305E6">
        <w:rPr>
          <w:rFonts w:ascii="Georgia" w:eastAsia="Times New Roman" w:hAnsi="Georgia"/>
        </w:rPr>
        <w:t>, </w:t>
      </w:r>
      <w:r w:rsidRPr="005305E6">
        <w:rPr>
          <w:rFonts w:ascii="Georgia" w:eastAsia="Times New Roman" w:hAnsi="Georgia"/>
          <w:i/>
          <w:iCs/>
        </w:rPr>
        <w:t>187</w:t>
      </w:r>
      <w:r w:rsidRPr="005305E6">
        <w:rPr>
          <w:rFonts w:ascii="Georgia" w:eastAsia="Times New Roman" w:hAnsi="Georgia"/>
        </w:rPr>
        <w:t>(1), E9–E10. https://doi.org/10.1503/cmaj.109-4950</w:t>
      </w:r>
    </w:p>
    <w:p w:rsidR="00F664F1" w:rsidRDefault="00F664F1" w:rsidP="00F32026">
      <w:pPr>
        <w:spacing w:before="100" w:beforeAutospacing="1" w:after="100" w:afterAutospacing="1"/>
      </w:pPr>
      <w:r>
        <w:rPr>
          <w:color w:val="000000"/>
          <w:sz w:val="27"/>
          <w:szCs w:val="27"/>
        </w:rPr>
        <w:t>‌</w:t>
      </w:r>
      <w:r>
        <w:rPr>
          <w:i/>
          <w:iCs/>
          <w:color w:val="000000"/>
          <w:sz w:val="27"/>
          <w:szCs w:val="27"/>
        </w:rPr>
        <w:t xml:space="preserve">Toward a healthy future: Second report on the health of Canadians | </w:t>
      </w:r>
    </w:p>
    <w:p w:rsidR="00F664F1" w:rsidRDefault="00F664F1" w:rsidP="00F664F1">
      <w:pPr>
        <w:spacing w:before="100" w:beforeAutospacing="1" w:after="100" w:afterAutospacing="1" w:line="480" w:lineRule="atLeast"/>
        <w:ind w:left="720"/>
      </w:pPr>
      <w:r>
        <w:rPr>
          <w:i/>
          <w:iCs/>
          <w:color w:val="000000"/>
          <w:sz w:val="27"/>
          <w:szCs w:val="27"/>
        </w:rPr>
        <w:t>          National Collaborating Centre for Determinants of Health</w:t>
      </w:r>
      <w:r>
        <w:rPr>
          <w:color w:val="000000"/>
          <w:sz w:val="27"/>
          <w:szCs w:val="27"/>
        </w:rPr>
        <w:t>. (</w:t>
      </w:r>
      <w:proofErr w:type="spellStart"/>
      <w:r>
        <w:rPr>
          <w:color w:val="000000"/>
          <w:sz w:val="27"/>
          <w:szCs w:val="27"/>
        </w:rPr>
        <w:t>n.d.</w:t>
      </w:r>
      <w:proofErr w:type="spellEnd"/>
      <w:r>
        <w:rPr>
          <w:color w:val="000000"/>
          <w:sz w:val="27"/>
          <w:szCs w:val="27"/>
        </w:rPr>
        <w:t xml:space="preserve">). </w:t>
      </w:r>
    </w:p>
    <w:p w:rsidR="00F664F1" w:rsidRDefault="00F664F1" w:rsidP="00F664F1">
      <w:pPr>
        <w:spacing w:before="100" w:beforeAutospacing="1" w:after="100" w:afterAutospacing="1" w:line="480" w:lineRule="atLeast"/>
        <w:ind w:left="720"/>
      </w:pPr>
      <w:r>
        <w:rPr>
          <w:i/>
          <w:iCs/>
          <w:color w:val="000000"/>
          <w:sz w:val="27"/>
          <w:szCs w:val="27"/>
        </w:rPr>
        <w:t>          </w:t>
      </w:r>
      <w:r>
        <w:rPr>
          <w:color w:val="000000"/>
          <w:sz w:val="27"/>
          <w:szCs w:val="27"/>
        </w:rPr>
        <w:t xml:space="preserve">Nccdh.ca. </w:t>
      </w:r>
      <w:r w:rsidRPr="00F32026">
        <w:rPr>
          <w:sz w:val="27"/>
          <w:szCs w:val="27"/>
        </w:rPr>
        <w:t>https://nccdh.ca/resources/entry/toward-a-healthy-</w:t>
      </w:r>
    </w:p>
    <w:p w:rsidR="00F664F1" w:rsidRDefault="00F32026" w:rsidP="00F664F1">
      <w:pPr>
        <w:spacing w:before="100" w:beforeAutospacing="1" w:after="100" w:afterAutospacing="1" w:line="480" w:lineRule="atLeast"/>
        <w:ind w:left="720"/>
      </w:pPr>
      <w:r>
        <w:rPr>
          <w:color w:val="000000"/>
          <w:sz w:val="27"/>
          <w:szCs w:val="27"/>
        </w:rPr>
        <w:t xml:space="preserve">          </w:t>
      </w:r>
      <w:r w:rsidR="00F664F1">
        <w:rPr>
          <w:color w:val="000000"/>
          <w:sz w:val="27"/>
          <w:szCs w:val="27"/>
        </w:rPr>
        <w:t>future</w:t>
      </w:r>
    </w:p>
    <w:p w:rsidR="00F71D0C" w:rsidRDefault="00F664F1" w:rsidP="00F32026">
      <w:pPr>
        <w:spacing w:before="100" w:beforeAutospacing="1" w:after="100" w:afterAutospacing="1"/>
      </w:pPr>
      <w:r>
        <w:rPr>
          <w:color w:val="000000"/>
          <w:sz w:val="27"/>
          <w:szCs w:val="27"/>
        </w:rPr>
        <w:t>‌</w:t>
      </w:r>
      <w:r w:rsidR="00F71D0C">
        <w:rPr>
          <w:i/>
          <w:iCs/>
          <w:color w:val="000000"/>
          <w:sz w:val="27"/>
          <w:szCs w:val="27"/>
        </w:rPr>
        <w:t xml:space="preserve">Toward a healthy future: Second report on the health of Canadians | </w:t>
      </w:r>
    </w:p>
    <w:p w:rsidR="00F71D0C" w:rsidRDefault="00F71D0C" w:rsidP="00F71D0C">
      <w:pPr>
        <w:spacing w:before="100" w:beforeAutospacing="1" w:after="100" w:afterAutospacing="1" w:line="480" w:lineRule="atLeast"/>
        <w:ind w:left="720"/>
      </w:pPr>
      <w:r>
        <w:rPr>
          <w:i/>
          <w:iCs/>
          <w:color w:val="000000"/>
          <w:sz w:val="27"/>
          <w:szCs w:val="27"/>
        </w:rPr>
        <w:t>          National Collaborating Centre for Determinants of Health</w:t>
      </w:r>
      <w:r>
        <w:rPr>
          <w:color w:val="000000"/>
          <w:sz w:val="27"/>
          <w:szCs w:val="27"/>
        </w:rPr>
        <w:t>. (</w:t>
      </w:r>
      <w:proofErr w:type="spellStart"/>
      <w:r>
        <w:rPr>
          <w:color w:val="000000"/>
          <w:sz w:val="27"/>
          <w:szCs w:val="27"/>
        </w:rPr>
        <w:t>n.d.</w:t>
      </w:r>
      <w:proofErr w:type="spellEnd"/>
      <w:r>
        <w:rPr>
          <w:color w:val="000000"/>
          <w:sz w:val="27"/>
          <w:szCs w:val="27"/>
        </w:rPr>
        <w:t xml:space="preserve">). </w:t>
      </w:r>
    </w:p>
    <w:p w:rsidR="00F71D0C" w:rsidRDefault="00F71D0C" w:rsidP="00F71D0C">
      <w:pPr>
        <w:spacing w:before="100" w:beforeAutospacing="1" w:after="100" w:afterAutospacing="1" w:line="480" w:lineRule="atLeast"/>
        <w:ind w:left="720"/>
      </w:pPr>
      <w:r>
        <w:rPr>
          <w:i/>
          <w:iCs/>
          <w:color w:val="000000"/>
          <w:sz w:val="27"/>
          <w:szCs w:val="27"/>
        </w:rPr>
        <w:t>          </w:t>
      </w:r>
      <w:r>
        <w:rPr>
          <w:color w:val="000000"/>
          <w:sz w:val="27"/>
          <w:szCs w:val="27"/>
        </w:rPr>
        <w:t xml:space="preserve">Nccdh.ca. </w:t>
      </w:r>
      <w:r w:rsidRPr="008538DD">
        <w:rPr>
          <w:sz w:val="27"/>
          <w:szCs w:val="27"/>
        </w:rPr>
        <w:t>https://nccdh.ca/resources/entry/toward-a-healthy-</w:t>
      </w:r>
    </w:p>
    <w:p w:rsidR="00F71D0C" w:rsidRDefault="00F71D0C" w:rsidP="00F71D0C">
      <w:pPr>
        <w:spacing w:before="100" w:beforeAutospacing="1" w:after="100" w:afterAutospacing="1" w:line="480" w:lineRule="atLeast"/>
        <w:ind w:left="720"/>
      </w:pPr>
      <w:r>
        <w:rPr>
          <w:color w:val="000000"/>
          <w:sz w:val="27"/>
          <w:szCs w:val="27"/>
        </w:rPr>
        <w:t>         future</w:t>
      </w:r>
    </w:p>
    <w:p w:rsidR="00F71D0C" w:rsidRDefault="00F71D0C" w:rsidP="00F71D0C">
      <w:pPr>
        <w:spacing w:before="100" w:beforeAutospacing="1" w:after="100" w:afterAutospacing="1"/>
      </w:pPr>
      <w:r>
        <w:rPr>
          <w:color w:val="000000"/>
          <w:sz w:val="27"/>
          <w:szCs w:val="27"/>
        </w:rPr>
        <w:t>‌</w:t>
      </w:r>
    </w:p>
    <w:p w:rsidR="00F71D0C" w:rsidRDefault="00F71D0C" w:rsidP="00F32026">
      <w:pPr>
        <w:spacing w:before="100" w:beforeAutospacing="1" w:after="100" w:afterAutospacing="1"/>
      </w:pPr>
      <w:r>
        <w:rPr>
          <w:color w:val="1F4E79"/>
        </w:rPr>
        <w:t> </w:t>
      </w:r>
    </w:p>
    <w:p w:rsidR="00F71D0C" w:rsidRDefault="00F71D0C"/>
    <w:sectPr w:rsidR="00F71D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1F2" w:rsidRDefault="00D211F2" w:rsidP="005305E6">
      <w:r>
        <w:separator/>
      </w:r>
    </w:p>
  </w:endnote>
  <w:endnote w:type="continuationSeparator" w:id="0">
    <w:p w:rsidR="00D211F2" w:rsidRDefault="00D211F2" w:rsidP="00530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1F2" w:rsidRDefault="00D211F2" w:rsidP="005305E6">
      <w:r>
        <w:separator/>
      </w:r>
    </w:p>
  </w:footnote>
  <w:footnote w:type="continuationSeparator" w:id="0">
    <w:p w:rsidR="00D211F2" w:rsidRDefault="00D211F2" w:rsidP="005305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8DD" w:rsidRDefault="008538DD">
    <w:pPr>
      <w:pStyle w:val="Header"/>
      <w:jc w:val="right"/>
    </w:pPr>
    <w:r>
      <w:t xml:space="preserve">Determinants of Health October 13, 2024 </w:t>
    </w:r>
    <w:r>
      <w:tab/>
    </w:r>
    <w:r>
      <w:tab/>
    </w:r>
    <w:sdt>
      <w:sdtPr>
        <w:id w:val="21148653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A09A9">
          <w:rPr>
            <w:noProof/>
          </w:rPr>
          <w:t>1</w:t>
        </w:r>
        <w:r>
          <w:rPr>
            <w:noProof/>
          </w:rPr>
          <w:fldChar w:fldCharType="end"/>
        </w:r>
      </w:sdtContent>
    </w:sdt>
  </w:p>
  <w:p w:rsidR="008538DD" w:rsidRDefault="008538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D0C"/>
    <w:rsid w:val="00026D51"/>
    <w:rsid w:val="000D507C"/>
    <w:rsid w:val="00375794"/>
    <w:rsid w:val="005305E6"/>
    <w:rsid w:val="006A09A9"/>
    <w:rsid w:val="008538DD"/>
    <w:rsid w:val="008F1D91"/>
    <w:rsid w:val="009C71B6"/>
    <w:rsid w:val="00BD45CF"/>
    <w:rsid w:val="00D211F2"/>
    <w:rsid w:val="00F32026"/>
    <w:rsid w:val="00F664F1"/>
    <w:rsid w:val="00F71D0C"/>
    <w:rsid w:val="00F74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02472"/>
  <w15:chartTrackingRefBased/>
  <w15:docId w15:val="{60CCD98C-67B6-4697-ADA4-55526D41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D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D0C"/>
    <w:rPr>
      <w:color w:val="0000FF"/>
      <w:u w:val="single"/>
    </w:rPr>
  </w:style>
  <w:style w:type="paragraph" w:styleId="NormalWeb">
    <w:name w:val="Normal (Web)"/>
    <w:basedOn w:val="Normal"/>
    <w:uiPriority w:val="99"/>
    <w:semiHidden/>
    <w:unhideWhenUsed/>
    <w:rsid w:val="00F71D0C"/>
    <w:pPr>
      <w:spacing w:before="100" w:beforeAutospacing="1" w:after="100" w:afterAutospacing="1"/>
    </w:pPr>
  </w:style>
  <w:style w:type="paragraph" w:customStyle="1" w:styleId="m-353075920303643557msolistparagraph">
    <w:name w:val="m_-353075920303643557msolistparagraph"/>
    <w:basedOn w:val="Normal"/>
    <w:uiPriority w:val="99"/>
    <w:semiHidden/>
    <w:rsid w:val="00F71D0C"/>
    <w:pPr>
      <w:spacing w:before="100" w:beforeAutospacing="1" w:after="100" w:afterAutospacing="1"/>
    </w:pPr>
  </w:style>
  <w:style w:type="paragraph" w:styleId="Header">
    <w:name w:val="header"/>
    <w:basedOn w:val="Normal"/>
    <w:link w:val="HeaderChar"/>
    <w:uiPriority w:val="99"/>
    <w:unhideWhenUsed/>
    <w:rsid w:val="005305E6"/>
    <w:pPr>
      <w:tabs>
        <w:tab w:val="center" w:pos="4680"/>
        <w:tab w:val="right" w:pos="9360"/>
      </w:tabs>
    </w:pPr>
  </w:style>
  <w:style w:type="character" w:customStyle="1" w:styleId="HeaderChar">
    <w:name w:val="Header Char"/>
    <w:basedOn w:val="DefaultParagraphFont"/>
    <w:link w:val="Header"/>
    <w:uiPriority w:val="99"/>
    <w:rsid w:val="005305E6"/>
    <w:rPr>
      <w:rFonts w:ascii="Times New Roman" w:hAnsi="Times New Roman" w:cs="Times New Roman"/>
      <w:sz w:val="24"/>
      <w:szCs w:val="24"/>
    </w:rPr>
  </w:style>
  <w:style w:type="paragraph" w:styleId="Footer">
    <w:name w:val="footer"/>
    <w:basedOn w:val="Normal"/>
    <w:link w:val="FooterChar"/>
    <w:uiPriority w:val="99"/>
    <w:unhideWhenUsed/>
    <w:rsid w:val="005305E6"/>
    <w:pPr>
      <w:tabs>
        <w:tab w:val="center" w:pos="4680"/>
        <w:tab w:val="right" w:pos="9360"/>
      </w:tabs>
    </w:pPr>
  </w:style>
  <w:style w:type="character" w:customStyle="1" w:styleId="FooterChar">
    <w:name w:val="Footer Char"/>
    <w:basedOn w:val="DefaultParagraphFont"/>
    <w:link w:val="Footer"/>
    <w:uiPriority w:val="99"/>
    <w:rsid w:val="005305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88757">
      <w:bodyDiv w:val="1"/>
      <w:marLeft w:val="0"/>
      <w:marRight w:val="0"/>
      <w:marTop w:val="0"/>
      <w:marBottom w:val="0"/>
      <w:divBdr>
        <w:top w:val="none" w:sz="0" w:space="0" w:color="auto"/>
        <w:left w:val="none" w:sz="0" w:space="0" w:color="auto"/>
        <w:bottom w:val="none" w:sz="0" w:space="0" w:color="auto"/>
        <w:right w:val="none" w:sz="0" w:space="0" w:color="auto"/>
      </w:divBdr>
    </w:div>
    <w:div w:id="849098458">
      <w:bodyDiv w:val="1"/>
      <w:marLeft w:val="0"/>
      <w:marRight w:val="0"/>
      <w:marTop w:val="0"/>
      <w:marBottom w:val="0"/>
      <w:divBdr>
        <w:top w:val="none" w:sz="0" w:space="0" w:color="auto"/>
        <w:left w:val="none" w:sz="0" w:space="0" w:color="auto"/>
        <w:bottom w:val="none" w:sz="0" w:space="0" w:color="auto"/>
        <w:right w:val="none" w:sz="0" w:space="0" w:color="auto"/>
      </w:divBdr>
    </w:div>
    <w:div w:id="888879813">
      <w:bodyDiv w:val="1"/>
      <w:marLeft w:val="0"/>
      <w:marRight w:val="0"/>
      <w:marTop w:val="0"/>
      <w:marBottom w:val="0"/>
      <w:divBdr>
        <w:top w:val="none" w:sz="0" w:space="0" w:color="auto"/>
        <w:left w:val="none" w:sz="0" w:space="0" w:color="auto"/>
        <w:bottom w:val="none" w:sz="0" w:space="0" w:color="auto"/>
        <w:right w:val="none" w:sz="0" w:space="0" w:color="auto"/>
      </w:divBdr>
    </w:div>
    <w:div w:id="19155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n01.safelinks.protection.outlook.com/?url=https%3A%2F%2Furldefense.com%2Fv3%2F__https%3A%2F%2Fwww.canada.ca%2Fen%2Fservices%2Fhealth%2Fdeterminants-__%3B!!JB7FzA!OUzvUelO1mwyzhvWCzmCb-J1rCJALvQxDp4CzZkvtM2XWmEMCrLK6bRDGoBZuwUgACDDsWqnIaN0I8lh6xSV%24&amp;data=05%7C02%7Cnnesathu%40HHSC.CA%7Cc731e4540d164bf621c508dcec743641%7Cc25105445d19418288234febd9ca3152%7C0%7C0%7C638645231092720334%7CUnknown%7CTWFpbGZsb3d8eyJWIjoiMC4wLjAwMDAiLCJQIjoiV2luMzIiLCJBTiI6Ik1haWwiLCJXVCI6Mn0%3D%7C0%7C%7C%7C&amp;sdata=q7RAWbT0JGdxDr2uo35x%2FgT54HrnBuuYn5Mx1gdYjTA%3D&amp;reserved=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HHSC</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Nesathurai Nancy (HHSC)</dc:creator>
  <cp:keywords/>
  <dc:description/>
  <cp:lastModifiedBy>Nesathurai Nancy (HHSC)</cp:lastModifiedBy>
  <cp:revision>7</cp:revision>
  <dcterms:created xsi:type="dcterms:W3CDTF">2024-10-14T17:23:00Z</dcterms:created>
  <dcterms:modified xsi:type="dcterms:W3CDTF">2024-10-14T22:25:00Z</dcterms:modified>
</cp:coreProperties>
</file>