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6D" w:rsidRDefault="00BC046D"/>
    <w:p w:rsidR="00CD2EE9" w:rsidRDefault="00CD2EE9"/>
    <w:p w:rsidR="00973CE0" w:rsidRDefault="00CD2EE9" w:rsidP="005A31B3">
      <w:pPr>
        <w:spacing w:line="480" w:lineRule="auto"/>
        <w:ind w:firstLine="720"/>
        <w:rPr>
          <w:rFonts w:ascii="New roman times" w:hAnsi="New roman times"/>
          <w:sz w:val="24"/>
          <w:szCs w:val="24"/>
        </w:rPr>
      </w:pPr>
      <w:r w:rsidRPr="005A31B3">
        <w:rPr>
          <w:rFonts w:ascii="New roman times" w:hAnsi="New roman times"/>
          <w:sz w:val="24"/>
          <w:szCs w:val="24"/>
        </w:rPr>
        <w:t xml:space="preserve">World Health Organization (WHO) </w:t>
      </w:r>
      <w:r w:rsidR="00105AEC">
        <w:rPr>
          <w:rFonts w:ascii="New roman times" w:hAnsi="New roman times"/>
          <w:sz w:val="24"/>
          <w:szCs w:val="24"/>
        </w:rPr>
        <w:t xml:space="preserve">has a </w:t>
      </w:r>
      <w:r w:rsidR="00A66CB6" w:rsidRPr="005A31B3">
        <w:rPr>
          <w:rFonts w:ascii="New roman times" w:hAnsi="New roman times"/>
          <w:sz w:val="24"/>
          <w:szCs w:val="24"/>
        </w:rPr>
        <w:t>mandate</w:t>
      </w:r>
      <w:r w:rsidR="005A31B3" w:rsidRPr="005A31B3">
        <w:rPr>
          <w:rFonts w:ascii="New roman times" w:hAnsi="New roman times"/>
          <w:sz w:val="24"/>
          <w:szCs w:val="24"/>
        </w:rPr>
        <w:t xml:space="preserve"> </w:t>
      </w:r>
      <w:r w:rsidRPr="005A31B3">
        <w:rPr>
          <w:rFonts w:ascii="New roman times" w:hAnsi="New roman times"/>
          <w:sz w:val="24"/>
          <w:szCs w:val="24"/>
        </w:rPr>
        <w:t>to improve public health conditions</w:t>
      </w:r>
      <w:r w:rsidR="005A31B3" w:rsidRPr="005A31B3">
        <w:rPr>
          <w:rFonts w:ascii="New roman times" w:hAnsi="New roman times"/>
          <w:sz w:val="24"/>
          <w:szCs w:val="24"/>
        </w:rPr>
        <w:t xml:space="preserve">. </w:t>
      </w:r>
      <w:r w:rsidRPr="005A31B3">
        <w:rPr>
          <w:rFonts w:ascii="New roman times" w:hAnsi="New roman times"/>
          <w:sz w:val="24"/>
          <w:szCs w:val="24"/>
        </w:rPr>
        <w:t xml:space="preserve"> </w:t>
      </w:r>
      <w:r w:rsidR="00BE4DBB">
        <w:rPr>
          <w:rFonts w:ascii="New roman times" w:hAnsi="New roman times"/>
          <w:sz w:val="24"/>
          <w:szCs w:val="24"/>
        </w:rPr>
        <w:t>(Britannia, 2018). At this time in history the top three leading causes of death were pneumonia and infl</w:t>
      </w:r>
      <w:r w:rsidR="002C6E58">
        <w:rPr>
          <w:rFonts w:ascii="New roman times" w:hAnsi="New roman times"/>
          <w:sz w:val="24"/>
          <w:szCs w:val="24"/>
        </w:rPr>
        <w:t>uenza, heart disease and stroke (ONS, 2017). Bas</w:t>
      </w:r>
      <w:r w:rsidR="00D6067D">
        <w:rPr>
          <w:rFonts w:ascii="New roman times" w:hAnsi="New roman times"/>
          <w:sz w:val="24"/>
          <w:szCs w:val="24"/>
        </w:rPr>
        <w:t>ed in this time in history,</w:t>
      </w:r>
      <w:r w:rsidR="002C6E58">
        <w:rPr>
          <w:rFonts w:ascii="New roman times" w:hAnsi="New roman times"/>
          <w:sz w:val="24"/>
          <w:szCs w:val="24"/>
        </w:rPr>
        <w:t xml:space="preserve"> people died from tuberculosis, influenza and other communicable disease</w:t>
      </w:r>
      <w:r w:rsidR="00FC07F3">
        <w:rPr>
          <w:rFonts w:ascii="New roman times" w:hAnsi="New roman times"/>
          <w:sz w:val="24"/>
          <w:szCs w:val="24"/>
        </w:rPr>
        <w:t>s.</w:t>
      </w:r>
      <w:r w:rsidR="00257F30">
        <w:rPr>
          <w:rFonts w:ascii="New roman times" w:hAnsi="New roman times"/>
          <w:sz w:val="24"/>
          <w:szCs w:val="24"/>
        </w:rPr>
        <w:t xml:space="preserve"> WHO’s constitution defines “h</w:t>
      </w:r>
      <w:r w:rsidR="002C6E58">
        <w:rPr>
          <w:rFonts w:ascii="New roman times" w:hAnsi="New roman times"/>
          <w:sz w:val="24"/>
          <w:szCs w:val="24"/>
        </w:rPr>
        <w:t xml:space="preserve">ealth is a state of complete physical, mental and social well-being and not merely the absence of </w:t>
      </w:r>
      <w:r w:rsidR="00973CE0">
        <w:rPr>
          <w:rFonts w:ascii="New roman times" w:hAnsi="New roman times"/>
          <w:sz w:val="24"/>
          <w:szCs w:val="24"/>
        </w:rPr>
        <w:t>disease or infirmity</w:t>
      </w:r>
      <w:r w:rsidR="00D6067D">
        <w:rPr>
          <w:rFonts w:ascii="New roman times" w:hAnsi="New roman times"/>
          <w:sz w:val="24"/>
          <w:szCs w:val="24"/>
        </w:rPr>
        <w:t xml:space="preserve"> and a fundamental right of every human being without distinction of race, religion, political belief, economic or social condition</w:t>
      </w:r>
      <w:r w:rsidR="00973CE0">
        <w:rPr>
          <w:rFonts w:ascii="New roman times" w:hAnsi="New roman times"/>
          <w:sz w:val="24"/>
          <w:szCs w:val="24"/>
        </w:rPr>
        <w:t>” (WHO, 1948</w:t>
      </w:r>
      <w:r w:rsidR="002C6E58">
        <w:rPr>
          <w:rFonts w:ascii="New roman times" w:hAnsi="New roman times"/>
          <w:sz w:val="24"/>
          <w:szCs w:val="24"/>
        </w:rPr>
        <w:t>)</w:t>
      </w:r>
      <w:r w:rsidR="00973CE0">
        <w:rPr>
          <w:rFonts w:ascii="New roman times" w:hAnsi="New roman times"/>
          <w:sz w:val="24"/>
          <w:szCs w:val="24"/>
        </w:rPr>
        <w:t xml:space="preserve">. </w:t>
      </w:r>
    </w:p>
    <w:p w:rsidR="00257F30" w:rsidRPr="005A31B3" w:rsidRDefault="00973CE0" w:rsidP="00257F30">
      <w:pPr>
        <w:spacing w:line="480" w:lineRule="auto"/>
        <w:ind w:firstLine="720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 xml:space="preserve">WHO definition </w:t>
      </w:r>
      <w:r w:rsidR="00257F30">
        <w:rPr>
          <w:rFonts w:ascii="New roman times" w:hAnsi="New roman times"/>
          <w:sz w:val="24"/>
          <w:szCs w:val="24"/>
        </w:rPr>
        <w:t>of health has remained constant</w:t>
      </w:r>
      <w:r w:rsidR="00D6067D">
        <w:rPr>
          <w:rFonts w:ascii="New roman times" w:hAnsi="New roman times"/>
          <w:sz w:val="24"/>
          <w:szCs w:val="24"/>
        </w:rPr>
        <w:t xml:space="preserve">, </w:t>
      </w:r>
      <w:r>
        <w:rPr>
          <w:rFonts w:ascii="New roman times" w:hAnsi="New roman times"/>
          <w:sz w:val="24"/>
          <w:szCs w:val="24"/>
        </w:rPr>
        <w:t>even though disease patterns</w:t>
      </w:r>
      <w:r w:rsidR="00257F30">
        <w:rPr>
          <w:rFonts w:ascii="New roman times" w:hAnsi="New roman times"/>
          <w:sz w:val="24"/>
          <w:szCs w:val="24"/>
        </w:rPr>
        <w:t xml:space="preserve"> have </w:t>
      </w:r>
      <w:r>
        <w:rPr>
          <w:rFonts w:ascii="New roman times" w:hAnsi="New roman times"/>
          <w:sz w:val="24"/>
          <w:szCs w:val="24"/>
        </w:rPr>
        <w:t>changed</w:t>
      </w:r>
      <w:r w:rsidR="00257F30">
        <w:rPr>
          <w:rFonts w:ascii="New roman times" w:hAnsi="New roman times"/>
          <w:sz w:val="24"/>
          <w:szCs w:val="24"/>
        </w:rPr>
        <w:t xml:space="preserve"> due to discoveries like</w:t>
      </w:r>
      <w:r w:rsidR="00D6067D">
        <w:rPr>
          <w:rFonts w:ascii="New roman times" w:hAnsi="New roman times"/>
          <w:sz w:val="24"/>
          <w:szCs w:val="24"/>
        </w:rPr>
        <w:t xml:space="preserve"> immunizations</w:t>
      </w:r>
      <w:r>
        <w:rPr>
          <w:rFonts w:ascii="New roman times" w:hAnsi="New roman times"/>
          <w:sz w:val="24"/>
          <w:szCs w:val="24"/>
        </w:rPr>
        <w:t>. Current day causes of d</w:t>
      </w:r>
      <w:bookmarkStart w:id="0" w:name="_GoBack"/>
      <w:bookmarkEnd w:id="0"/>
      <w:r>
        <w:rPr>
          <w:rFonts w:ascii="New roman times" w:hAnsi="New roman times"/>
          <w:sz w:val="24"/>
          <w:szCs w:val="24"/>
        </w:rPr>
        <w:t>eath are heart disease, cancer and chronic respiratory disease. (ON, 2017</w:t>
      </w:r>
      <w:r w:rsidR="000672AE">
        <w:rPr>
          <w:rFonts w:ascii="New roman times" w:hAnsi="New roman times"/>
          <w:sz w:val="24"/>
          <w:szCs w:val="24"/>
        </w:rPr>
        <w:t xml:space="preserve">). </w:t>
      </w:r>
      <w:r>
        <w:rPr>
          <w:rFonts w:ascii="New roman times" w:hAnsi="New roman times"/>
          <w:sz w:val="24"/>
          <w:szCs w:val="24"/>
        </w:rPr>
        <w:t xml:space="preserve"> </w:t>
      </w:r>
      <w:proofErr w:type="spellStart"/>
      <w:r>
        <w:rPr>
          <w:rFonts w:ascii="New roman times" w:hAnsi="New roman times"/>
          <w:sz w:val="24"/>
          <w:szCs w:val="24"/>
        </w:rPr>
        <w:t>Svalastog</w:t>
      </w:r>
      <w:proofErr w:type="spellEnd"/>
      <w:r>
        <w:rPr>
          <w:rFonts w:ascii="New roman times" w:hAnsi="New roman times"/>
          <w:sz w:val="24"/>
          <w:szCs w:val="24"/>
        </w:rPr>
        <w:t xml:space="preserve"> brings to light that</w:t>
      </w:r>
      <w:r w:rsidR="00D6067D">
        <w:rPr>
          <w:rFonts w:ascii="New roman times" w:hAnsi="New roman times"/>
          <w:sz w:val="24"/>
          <w:szCs w:val="24"/>
        </w:rPr>
        <w:t xml:space="preserve"> the WHO definition is missing the additional</w:t>
      </w:r>
      <w:r>
        <w:rPr>
          <w:rFonts w:ascii="New roman times" w:hAnsi="New roman times"/>
          <w:sz w:val="24"/>
          <w:szCs w:val="24"/>
        </w:rPr>
        <w:t xml:space="preserve"> key component of spiritual health. The individual should have a</w:t>
      </w:r>
      <w:r w:rsidR="00D6067D">
        <w:rPr>
          <w:rFonts w:ascii="New roman times" w:hAnsi="New roman times"/>
          <w:sz w:val="24"/>
          <w:szCs w:val="24"/>
        </w:rPr>
        <w:t xml:space="preserve"> spiritual</w:t>
      </w:r>
      <w:r>
        <w:rPr>
          <w:rFonts w:ascii="New roman times" w:hAnsi="New roman times"/>
          <w:sz w:val="24"/>
          <w:szCs w:val="24"/>
        </w:rPr>
        <w:t xml:space="preserve"> self-awareness, self-confidence creating a satisfaction in their life which brings about </w:t>
      </w:r>
      <w:r w:rsidR="00257F30">
        <w:rPr>
          <w:rFonts w:ascii="New roman times" w:hAnsi="New roman times"/>
          <w:sz w:val="24"/>
          <w:szCs w:val="24"/>
        </w:rPr>
        <w:t xml:space="preserve">peace </w:t>
      </w:r>
      <w:r>
        <w:rPr>
          <w:rFonts w:ascii="New roman times" w:hAnsi="New roman times"/>
          <w:sz w:val="24"/>
          <w:szCs w:val="24"/>
        </w:rPr>
        <w:t>and emotional balance. (</w:t>
      </w:r>
      <w:proofErr w:type="spellStart"/>
      <w:r>
        <w:rPr>
          <w:rFonts w:ascii="New roman times" w:hAnsi="New roman times"/>
          <w:sz w:val="24"/>
          <w:szCs w:val="24"/>
        </w:rPr>
        <w:t>Svalastog</w:t>
      </w:r>
      <w:proofErr w:type="spellEnd"/>
      <w:r>
        <w:rPr>
          <w:rFonts w:ascii="New roman times" w:hAnsi="New roman times"/>
          <w:sz w:val="24"/>
          <w:szCs w:val="24"/>
        </w:rPr>
        <w:t>, 2017)</w:t>
      </w:r>
      <w:r w:rsidR="00A66CB6">
        <w:rPr>
          <w:rFonts w:ascii="New roman times" w:hAnsi="New roman times"/>
          <w:sz w:val="24"/>
          <w:szCs w:val="24"/>
        </w:rPr>
        <w:t xml:space="preserve">. </w:t>
      </w:r>
      <w:proofErr w:type="spellStart"/>
      <w:r w:rsidR="00257F30">
        <w:rPr>
          <w:rFonts w:ascii="New roman times" w:hAnsi="New roman times"/>
          <w:sz w:val="24"/>
          <w:szCs w:val="24"/>
        </w:rPr>
        <w:t>Schramme</w:t>
      </w:r>
      <w:proofErr w:type="spellEnd"/>
      <w:r w:rsidR="00257F30">
        <w:rPr>
          <w:rFonts w:ascii="New roman times" w:hAnsi="New roman times"/>
          <w:sz w:val="24"/>
          <w:szCs w:val="24"/>
        </w:rPr>
        <w:t xml:space="preserve"> shares that WHO definition confuses health with happiness which is relevant for a holistic interpretation. (</w:t>
      </w:r>
      <w:proofErr w:type="spellStart"/>
      <w:r w:rsidR="00257F30">
        <w:rPr>
          <w:rFonts w:ascii="New roman times" w:hAnsi="New roman times"/>
          <w:sz w:val="24"/>
          <w:szCs w:val="24"/>
        </w:rPr>
        <w:t>Schramme</w:t>
      </w:r>
      <w:proofErr w:type="spellEnd"/>
      <w:r w:rsidR="00257F30">
        <w:rPr>
          <w:rFonts w:ascii="New roman times" w:hAnsi="New roman times"/>
          <w:sz w:val="24"/>
          <w:szCs w:val="24"/>
        </w:rPr>
        <w:t xml:space="preserve">, 2023). </w:t>
      </w:r>
      <w:r w:rsidR="00A66CB6">
        <w:rPr>
          <w:rFonts w:ascii="New roman times" w:hAnsi="New roman times"/>
          <w:sz w:val="24"/>
          <w:szCs w:val="24"/>
        </w:rPr>
        <w:t>Other factors over</w:t>
      </w:r>
      <w:r w:rsidR="00257F30">
        <w:rPr>
          <w:rFonts w:ascii="New roman times" w:hAnsi="New roman times"/>
          <w:sz w:val="24"/>
          <w:szCs w:val="24"/>
        </w:rPr>
        <w:t xml:space="preserve">looked, </w:t>
      </w:r>
      <w:r w:rsidR="00700A3D">
        <w:rPr>
          <w:rFonts w:ascii="New roman times" w:hAnsi="New roman times"/>
          <w:sz w:val="24"/>
          <w:szCs w:val="24"/>
        </w:rPr>
        <w:t>is the impact of</w:t>
      </w:r>
      <w:r w:rsidR="00A66CB6">
        <w:rPr>
          <w:rFonts w:ascii="New roman times" w:hAnsi="New roman times"/>
          <w:sz w:val="24"/>
          <w:szCs w:val="24"/>
        </w:rPr>
        <w:t xml:space="preserve"> socioeconomic fa</w:t>
      </w:r>
      <w:r w:rsidR="00257F30">
        <w:rPr>
          <w:rFonts w:ascii="New roman times" w:hAnsi="New roman times"/>
          <w:sz w:val="24"/>
          <w:szCs w:val="24"/>
        </w:rPr>
        <w:t>ctors</w:t>
      </w:r>
      <w:r w:rsidR="00FC07F3">
        <w:rPr>
          <w:rFonts w:ascii="New roman times" w:hAnsi="New roman times"/>
          <w:sz w:val="24"/>
          <w:szCs w:val="24"/>
        </w:rPr>
        <w:t xml:space="preserve"> on health (Marmot, 2005). </w:t>
      </w:r>
      <w:r w:rsidR="000672AE">
        <w:rPr>
          <w:rFonts w:ascii="New roman times" w:hAnsi="New roman times"/>
          <w:sz w:val="24"/>
          <w:szCs w:val="24"/>
        </w:rPr>
        <w:t xml:space="preserve">Health in summary can be an elusive ideal open to interpretation of the individual or community. </w:t>
      </w:r>
      <w:r w:rsidR="00257F30">
        <w:rPr>
          <w:rFonts w:ascii="New roman times" w:hAnsi="New roman times"/>
          <w:sz w:val="24"/>
          <w:szCs w:val="24"/>
        </w:rPr>
        <w:t>WHO definition of h</w:t>
      </w:r>
      <w:r w:rsidR="00FC07F3">
        <w:rPr>
          <w:rFonts w:ascii="New roman times" w:hAnsi="New roman times"/>
          <w:sz w:val="24"/>
          <w:szCs w:val="24"/>
        </w:rPr>
        <w:t xml:space="preserve">ealth is seminal work that </w:t>
      </w:r>
      <w:r w:rsidR="00257F30">
        <w:rPr>
          <w:rFonts w:ascii="New roman times" w:hAnsi="New roman times"/>
          <w:sz w:val="24"/>
          <w:szCs w:val="24"/>
        </w:rPr>
        <w:t>requires n</w:t>
      </w:r>
      <w:r w:rsidR="00FC07F3">
        <w:rPr>
          <w:rFonts w:ascii="New roman times" w:hAnsi="New roman times"/>
          <w:sz w:val="24"/>
          <w:szCs w:val="24"/>
        </w:rPr>
        <w:t xml:space="preserve">ew additions to its definition to maintain relevancy in today’s world. </w:t>
      </w:r>
    </w:p>
    <w:p w:rsidR="005A31B3" w:rsidRDefault="005A31B3"/>
    <w:p w:rsidR="005A31B3" w:rsidRDefault="005A31B3"/>
    <w:p w:rsidR="005A31B3" w:rsidRDefault="005A31B3"/>
    <w:p w:rsidR="005A31B3" w:rsidRDefault="005A31B3"/>
    <w:p w:rsidR="005A31B3" w:rsidRPr="00FB1781" w:rsidRDefault="005A31B3" w:rsidP="00FB1781">
      <w:pPr>
        <w:jc w:val="center"/>
        <w:rPr>
          <w:rFonts w:ascii="New roman times" w:hAnsi="New roman times"/>
          <w:sz w:val="24"/>
          <w:szCs w:val="24"/>
        </w:rPr>
      </w:pPr>
      <w:r w:rsidRPr="00FB1781">
        <w:rPr>
          <w:rFonts w:ascii="New roman times" w:hAnsi="New roman times"/>
          <w:sz w:val="24"/>
          <w:szCs w:val="24"/>
        </w:rPr>
        <w:t>References</w:t>
      </w:r>
    </w:p>
    <w:p w:rsidR="005A31B3" w:rsidRPr="00FB1781" w:rsidRDefault="005A31B3">
      <w:pPr>
        <w:rPr>
          <w:rFonts w:ascii="New roman times" w:hAnsi="New roman times"/>
          <w:sz w:val="24"/>
          <w:szCs w:val="24"/>
        </w:rPr>
      </w:pPr>
    </w:p>
    <w:p w:rsidR="00FB1781" w:rsidRDefault="00FB1781" w:rsidP="00FB1781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ascii="New roman times" w:hAnsi="New roman times"/>
        </w:rPr>
      </w:pPr>
      <w:r w:rsidRPr="00FB1781">
        <w:rPr>
          <w:rFonts w:ascii="New roman times" w:hAnsi="New roman times"/>
        </w:rPr>
        <w:t xml:space="preserve">The Editors of </w:t>
      </w:r>
      <w:proofErr w:type="spellStart"/>
      <w:r w:rsidRPr="00FB1781">
        <w:rPr>
          <w:rFonts w:ascii="New roman times" w:hAnsi="New roman times"/>
        </w:rPr>
        <w:t>Encyclopaedia</w:t>
      </w:r>
      <w:proofErr w:type="spellEnd"/>
      <w:r w:rsidRPr="00FB1781">
        <w:rPr>
          <w:rFonts w:ascii="New roman times" w:hAnsi="New roman times"/>
        </w:rPr>
        <w:t xml:space="preserve"> Britannica. (</w:t>
      </w:r>
      <w:r w:rsidR="00BE4DBB">
        <w:rPr>
          <w:rFonts w:ascii="New roman times" w:hAnsi="New roman times"/>
        </w:rPr>
        <w:t>2018</w:t>
      </w:r>
      <w:r w:rsidRPr="00FB1781">
        <w:rPr>
          <w:rFonts w:ascii="New roman times" w:hAnsi="New roman times"/>
        </w:rPr>
        <w:t xml:space="preserve">). </w:t>
      </w:r>
      <w:r w:rsidRPr="00FB1781">
        <w:rPr>
          <w:rFonts w:ascii="New roman times" w:hAnsi="New roman times"/>
          <w:i/>
          <w:iCs/>
        </w:rPr>
        <w:t>World Health Organization (WHO) | History, Organization, &amp; Definition of Health</w:t>
      </w:r>
      <w:r w:rsidRPr="00FB1781">
        <w:rPr>
          <w:rFonts w:ascii="New roman times" w:hAnsi="New roman times"/>
        </w:rPr>
        <w:t xml:space="preserve">. Encyclopedia Britannica. </w:t>
      </w:r>
      <w:r w:rsidR="00BE4DBB">
        <w:rPr>
          <w:rFonts w:ascii="New roman times" w:hAnsi="New roman times"/>
        </w:rPr>
        <w:t xml:space="preserve">Retrieved October 6, 2024, from </w:t>
      </w:r>
      <w:r w:rsidR="002C6E58" w:rsidRPr="002C6E58">
        <w:rPr>
          <w:rStyle w:val="url"/>
          <w:rFonts w:ascii="New roman times" w:hAnsi="New roman times"/>
        </w:rPr>
        <w:t>https://www.britannica.com</w:t>
      </w:r>
      <w:r w:rsidR="00105AEC">
        <w:rPr>
          <w:rStyle w:val="url"/>
          <w:rFonts w:ascii="New roman times" w:hAnsi="New roman times"/>
        </w:rPr>
        <w:t>/topic/World-Health-Organization</w:t>
      </w:r>
    </w:p>
    <w:p w:rsidR="002C6E58" w:rsidRDefault="002C6E58" w:rsidP="002C6E58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r>
        <w:rPr>
          <w:i/>
          <w:iCs/>
        </w:rPr>
        <w:t>Causes of death over 100 years - Office for National Statistics</w:t>
      </w:r>
      <w:r>
        <w:t xml:space="preserve">. (2017, September 18). </w:t>
      </w:r>
      <w:r w:rsidRPr="002C6E58">
        <w:rPr>
          <w:rStyle w:val="url"/>
        </w:rPr>
        <w:t>https://www.ons.gov.uk/peoplepopulationandcommunity/birthsdeathsandmarriages/deaths/articles/causesofdeathover100years/2017-09-18#:~:text=From%201985%20onwards,%20external%20causes%20such#:~:text=From%201985%20onwards,%20external%20causes%20such</w:t>
      </w:r>
    </w:p>
    <w:p w:rsidR="00D6067D" w:rsidRDefault="002C6E58" w:rsidP="00D6067D">
      <w:pPr>
        <w:pStyle w:val="NormalWeb"/>
        <w:spacing w:before="0" w:beforeAutospacing="0" w:after="0" w:afterAutospacing="0" w:line="480" w:lineRule="auto"/>
        <w:ind w:left="720" w:hanging="720"/>
        <w:rPr>
          <w:iCs/>
        </w:rPr>
      </w:pPr>
      <w:r>
        <w:rPr>
          <w:i/>
          <w:iCs/>
        </w:rPr>
        <w:t>Constitution of the world health organization.</w:t>
      </w:r>
      <w:r>
        <w:rPr>
          <w:iCs/>
        </w:rPr>
        <w:t>(</w:t>
      </w:r>
      <w:proofErr w:type="spellStart"/>
      <w:r>
        <w:rPr>
          <w:iCs/>
        </w:rPr>
        <w:t>n.d.</w:t>
      </w:r>
      <w:proofErr w:type="spellEnd"/>
      <w:r>
        <w:rPr>
          <w:iCs/>
        </w:rPr>
        <w:t xml:space="preserve">) Who.int. Retrieved Oct 4, 2024, from </w:t>
      </w:r>
      <w:r w:rsidR="00105AEC" w:rsidRPr="00105AEC">
        <w:rPr>
          <w:iCs/>
        </w:rPr>
        <w:t>https://www.who.int/about/governance/consitution</w:t>
      </w:r>
      <w:r w:rsidR="00105AEC">
        <w:rPr>
          <w:iCs/>
        </w:rPr>
        <w:t>.</w:t>
      </w:r>
    </w:p>
    <w:p w:rsidR="00105AEC" w:rsidRDefault="00105AEC" w:rsidP="00105AE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Svalastog</w:t>
      </w:r>
      <w:proofErr w:type="spellEnd"/>
      <w:r>
        <w:t xml:space="preserve">, A. L., </w:t>
      </w:r>
      <w:proofErr w:type="spellStart"/>
      <w:r>
        <w:t>Donev</w:t>
      </w:r>
      <w:proofErr w:type="spellEnd"/>
      <w:r>
        <w:t xml:space="preserve">, D., </w:t>
      </w:r>
      <w:proofErr w:type="spellStart"/>
      <w:r>
        <w:t>Kristoffersen</w:t>
      </w:r>
      <w:proofErr w:type="spellEnd"/>
      <w:r>
        <w:t xml:space="preserve">, N. J., &amp; </w:t>
      </w:r>
      <w:proofErr w:type="spellStart"/>
      <w:r>
        <w:t>Gajović</w:t>
      </w:r>
      <w:proofErr w:type="spellEnd"/>
      <w:r>
        <w:t xml:space="preserve">, S. (2017). Concepts and definitions of health and health-related values in the knowledge landscapes of the digital society. </w:t>
      </w:r>
      <w:r>
        <w:rPr>
          <w:i/>
          <w:iCs/>
        </w:rPr>
        <w:t>Croatian Medical Journal</w:t>
      </w:r>
      <w:r>
        <w:t xml:space="preserve">, </w:t>
      </w:r>
      <w:r>
        <w:rPr>
          <w:i/>
          <w:iCs/>
        </w:rPr>
        <w:t>58</w:t>
      </w:r>
      <w:r>
        <w:t xml:space="preserve">(6), 431–435. </w:t>
      </w:r>
      <w:r>
        <w:rPr>
          <w:rStyle w:val="url"/>
        </w:rPr>
        <w:t>https://doi.org/10.3325/cmj.2017.58.431</w:t>
      </w:r>
    </w:p>
    <w:p w:rsidR="00105AEC" w:rsidRPr="00105AEC" w:rsidRDefault="00105AEC" w:rsidP="00105AE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Schramme</w:t>
      </w:r>
      <w:proofErr w:type="spellEnd"/>
      <w:r>
        <w:t xml:space="preserve">, T. (2023). Health as Complete Well-Being: The WHO Definition and Beyond. </w:t>
      </w:r>
      <w:r>
        <w:rPr>
          <w:i/>
          <w:iCs/>
        </w:rPr>
        <w:t>Public Health Ethics</w:t>
      </w:r>
      <w:r>
        <w:t xml:space="preserve">. </w:t>
      </w:r>
      <w:r>
        <w:rPr>
          <w:rStyle w:val="url"/>
        </w:rPr>
        <w:t>https://doi.org/10.1093/phe/phad017</w:t>
      </w:r>
    </w:p>
    <w:p w:rsidR="00D6067D" w:rsidRDefault="00D6067D" w:rsidP="00D6067D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Marmot, M. (2005). Social determinants of health inequalities. </w:t>
      </w:r>
      <w:r>
        <w:rPr>
          <w:i/>
          <w:iCs/>
        </w:rPr>
        <w:t>The Lancet</w:t>
      </w:r>
      <w:r>
        <w:t xml:space="preserve">, </w:t>
      </w:r>
      <w:r>
        <w:rPr>
          <w:i/>
          <w:iCs/>
        </w:rPr>
        <w:t>365</w:t>
      </w:r>
      <w:r>
        <w:t xml:space="preserve">(9464), 1099–1104. </w:t>
      </w:r>
      <w:r>
        <w:rPr>
          <w:rStyle w:val="url"/>
        </w:rPr>
        <w:t>https://doi.org/10.1016/s0140-6736(05)71146-6</w:t>
      </w:r>
    </w:p>
    <w:p w:rsidR="00D6067D" w:rsidRPr="00D6067D" w:rsidRDefault="00D6067D" w:rsidP="00FB1781">
      <w:pPr>
        <w:pStyle w:val="NormalWeb"/>
        <w:spacing w:before="0" w:beforeAutospacing="0" w:after="0" w:afterAutospacing="0" w:line="480" w:lineRule="auto"/>
        <w:ind w:left="720" w:hanging="720"/>
        <w:rPr>
          <w:rFonts w:ascii="New roman times" w:hAnsi="New roman times"/>
        </w:rPr>
      </w:pPr>
    </w:p>
    <w:p w:rsidR="005A31B3" w:rsidRDefault="005A31B3"/>
    <w:sectPr w:rsidR="005A31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30" w:rsidRDefault="00257F30" w:rsidP="00FB1781">
      <w:pPr>
        <w:spacing w:after="0" w:line="240" w:lineRule="auto"/>
      </w:pPr>
      <w:r>
        <w:separator/>
      </w:r>
    </w:p>
  </w:endnote>
  <w:endnote w:type="continuationSeparator" w:id="0">
    <w:p w:rsidR="00257F30" w:rsidRDefault="00257F30" w:rsidP="00FB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30" w:rsidRDefault="00257F30" w:rsidP="00FB1781">
      <w:pPr>
        <w:spacing w:after="0" w:line="240" w:lineRule="auto"/>
      </w:pPr>
      <w:r>
        <w:separator/>
      </w:r>
    </w:p>
  </w:footnote>
  <w:footnote w:type="continuationSeparator" w:id="0">
    <w:p w:rsidR="00257F30" w:rsidRDefault="00257F30" w:rsidP="00FB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254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44DF" w:rsidRDefault="009F44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F30" w:rsidRDefault="009F44DF">
    <w:pPr>
      <w:pStyle w:val="Header"/>
    </w:pPr>
    <w:r>
      <w:t>WHO FORUM NANCY NESATHURAI</w:t>
    </w:r>
    <w:r w:rsidR="00FC07F3">
      <w:t xml:space="preserve"> OCT 7,2024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9"/>
    <w:rsid w:val="000672AE"/>
    <w:rsid w:val="00105AEC"/>
    <w:rsid w:val="00257F30"/>
    <w:rsid w:val="002C6E58"/>
    <w:rsid w:val="00380AC4"/>
    <w:rsid w:val="005A31B3"/>
    <w:rsid w:val="00700A3D"/>
    <w:rsid w:val="00973CE0"/>
    <w:rsid w:val="009F44DF"/>
    <w:rsid w:val="00A66CB6"/>
    <w:rsid w:val="00BC046D"/>
    <w:rsid w:val="00BE4DBB"/>
    <w:rsid w:val="00CD2EE9"/>
    <w:rsid w:val="00D6067D"/>
    <w:rsid w:val="00FB1781"/>
    <w:rsid w:val="00F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E9BB"/>
  <w15:chartTrackingRefBased/>
  <w15:docId w15:val="{55E9DF42-DE6C-4318-9E1C-A3B11F94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81"/>
  </w:style>
  <w:style w:type="paragraph" w:styleId="Footer">
    <w:name w:val="footer"/>
    <w:basedOn w:val="Normal"/>
    <w:link w:val="FooterChar"/>
    <w:uiPriority w:val="99"/>
    <w:unhideWhenUsed/>
    <w:rsid w:val="00FB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81"/>
  </w:style>
  <w:style w:type="paragraph" w:styleId="NormalWeb">
    <w:name w:val="Normal (Web)"/>
    <w:basedOn w:val="Normal"/>
    <w:uiPriority w:val="99"/>
    <w:semiHidden/>
    <w:unhideWhenUsed/>
    <w:rsid w:val="00FB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rl">
    <w:name w:val="url"/>
    <w:basedOn w:val="DefaultParagraphFont"/>
    <w:rsid w:val="00FB1781"/>
  </w:style>
  <w:style w:type="character" w:styleId="Hyperlink">
    <w:name w:val="Hyperlink"/>
    <w:basedOn w:val="DefaultParagraphFont"/>
    <w:uiPriority w:val="99"/>
    <w:unhideWhenUsed/>
    <w:rsid w:val="002C6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4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22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13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076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90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5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Nesathurai Nancy (HHSC)</dc:creator>
  <cp:keywords/>
  <dc:description/>
  <cp:lastModifiedBy>Nesathurai Nancy (HHSC)</cp:lastModifiedBy>
  <cp:revision>6</cp:revision>
  <dcterms:created xsi:type="dcterms:W3CDTF">2024-10-07T15:27:00Z</dcterms:created>
  <dcterms:modified xsi:type="dcterms:W3CDTF">2024-10-07T17:36:00Z</dcterms:modified>
</cp:coreProperties>
</file>